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CFD" w:rsidRDefault="00247CFD" w:rsidP="0090040A">
      <w:pPr>
        <w:jc w:val="center"/>
      </w:pPr>
      <w:r>
        <w:t>Negoziato Programmazione 2021 – 2027</w:t>
      </w:r>
    </w:p>
    <w:p w:rsidR="00247CFD" w:rsidRDefault="00247CFD" w:rsidP="0090040A">
      <w:pPr>
        <w:jc w:val="center"/>
      </w:pPr>
      <w:r>
        <w:t>TAVOLO Obiettivo Politico 4</w:t>
      </w:r>
    </w:p>
    <w:p w:rsidR="00247CFD" w:rsidRDefault="00247CFD" w:rsidP="0090040A">
      <w:pPr>
        <w:jc w:val="center"/>
      </w:pPr>
      <w:r>
        <w:t>Quarto incontro – 19.09.2019</w:t>
      </w:r>
    </w:p>
    <w:p w:rsidR="004B1939" w:rsidRDefault="00247CFD" w:rsidP="008E076E">
      <w:pPr>
        <w:jc w:val="both"/>
      </w:pPr>
      <w:r>
        <w:t>Si è tenuto il 19 settembre il quarto incontro del tavolo di confronto partenariale sull’OP4 Un’Europa più sociale avente come oggetto di approfondimento i cluster di obiettivi specifici relativi all’occupazione</w:t>
      </w:r>
      <w:r w:rsidR="00084F72">
        <w:t xml:space="preserve">; per lo streaming si veda </w:t>
      </w:r>
      <w:hyperlink r:id="rId7" w:history="1">
        <w:r w:rsidR="00084F72">
          <w:rPr>
            <w:rStyle w:val="Collegamentoipertestuale"/>
          </w:rPr>
          <w:t>https://www.youtube.com/watch?v=mk7kZwGo4wM</w:t>
        </w:r>
      </w:hyperlink>
      <w:r w:rsidR="00084F72">
        <w:t xml:space="preserve"> </w:t>
      </w:r>
    </w:p>
    <w:p w:rsidR="008E076E" w:rsidRDefault="0090040A" w:rsidP="008E076E">
      <w:pPr>
        <w:jc w:val="both"/>
      </w:pPr>
      <w:r>
        <w:t>I</w:t>
      </w:r>
      <w:r w:rsidR="00084F72">
        <w:t xml:space="preserve">l Coordinamento delle Regioni ha </w:t>
      </w:r>
      <w:r>
        <w:t xml:space="preserve">svolto un intervento </w:t>
      </w:r>
      <w:r w:rsidR="00571004">
        <w:t>di introduzione</w:t>
      </w:r>
      <w:r>
        <w:t xml:space="preserve"> sui diversi temi che sono stati poi affrontati nella giornata</w:t>
      </w:r>
      <w:r w:rsidR="00571004">
        <w:t>, attraverso le esperienze regionali,</w:t>
      </w:r>
      <w:r>
        <w:t xml:space="preserve"> dando </w:t>
      </w:r>
      <w:r w:rsidR="00571004">
        <w:t>conto</w:t>
      </w:r>
      <w:r>
        <w:t xml:space="preserve"> </w:t>
      </w:r>
      <w:r w:rsidR="00571004">
        <w:t>della ricchezza</w:t>
      </w:r>
      <w:r>
        <w:t xml:space="preserve"> del ventaglio di attività svolte dalle regioni, fornendo alcuni dati sia sul valore degli investimenti (la dotazione dei PO per l’occupazione è di oltre 4,5 mld di euro, i pagamenti superano i 2 miliardi) sia sui partecipanti alle azioni (oltre 2,2 milioni di disoccupati</w:t>
      </w:r>
      <w:r w:rsidR="00571004">
        <w:t xml:space="preserve"> e 400 mila inattivi coinvolti</w:t>
      </w:r>
      <w:r>
        <w:t xml:space="preserve">). </w:t>
      </w:r>
      <w:r w:rsidR="00571004">
        <w:t>Sono stati riepilogati rapidamente i principali filoni di intervento ascrivibili all’ambito “Occupazione” e in particolare, o</w:t>
      </w:r>
      <w:r w:rsidR="008E076E">
        <w:t xml:space="preserve">rientamento, formazione, accompagnamento al lavoro, tirocini, incentivi, autoimpiego e imprenditorialità formazione continua e interventi sui CPI. </w:t>
      </w:r>
      <w:r w:rsidR="00621FA7">
        <w:t xml:space="preserve"> </w:t>
      </w:r>
      <w:r w:rsidR="00E86C17">
        <w:t>Il Coordinamento regionale ha</w:t>
      </w:r>
      <w:r w:rsidR="00621FA7">
        <w:t xml:space="preserve"> poi </w:t>
      </w:r>
      <w:r w:rsidR="00E86C17">
        <w:t>posto alcuni punti di attenzione, in particolare nel sottolineare</w:t>
      </w:r>
      <w:r w:rsidR="008E076E">
        <w:t xml:space="preserve"> la centralità della priorità dei giovani </w:t>
      </w:r>
      <w:r w:rsidR="004B3932">
        <w:t>anche</w:t>
      </w:r>
      <w:r w:rsidR="00A971AA">
        <w:t xml:space="preserve"> per le regioni, </w:t>
      </w:r>
      <w:r w:rsidR="00E86C17">
        <w:t>ha richiamato</w:t>
      </w:r>
      <w:r w:rsidR="00A971AA">
        <w:t xml:space="preserve"> l’</w:t>
      </w:r>
      <w:r w:rsidR="004B3932">
        <w:t>opportunità</w:t>
      </w:r>
      <w:r w:rsidR="00A971AA">
        <w:t xml:space="preserve"> di trovare modalità </w:t>
      </w:r>
      <w:r w:rsidR="004B3932">
        <w:t>efficaci</w:t>
      </w:r>
      <w:r w:rsidR="00A971AA">
        <w:t xml:space="preserve"> e coordinate</w:t>
      </w:r>
      <w:r w:rsidR="0037786E">
        <w:t xml:space="preserve"> di sostegno, semplificando la gestione ed evitando spiazzamento o sovrapposizioni</w:t>
      </w:r>
      <w:r w:rsidR="00A971AA">
        <w:t xml:space="preserve">; </w:t>
      </w:r>
      <w:r w:rsidR="00A971AA" w:rsidRPr="00040F5D">
        <w:t xml:space="preserve">ha richiamato la </w:t>
      </w:r>
      <w:r w:rsidR="0037786E" w:rsidRPr="00040F5D">
        <w:t>necessità</w:t>
      </w:r>
      <w:r w:rsidR="0037786E">
        <w:t xml:space="preserve"> di convergere verso soluzioni più semplificate ad esempio in tema di formazione per e imprese per ridurre la complessità e l’onere di gestione connesso agli adempimenti in materia di aiuti di Stato. </w:t>
      </w:r>
    </w:p>
    <w:p w:rsidR="0090040A" w:rsidRDefault="0090040A" w:rsidP="004B3932">
      <w:pPr>
        <w:jc w:val="both"/>
      </w:pPr>
      <w:r>
        <w:t xml:space="preserve">La </w:t>
      </w:r>
      <w:r w:rsidR="00621FA7">
        <w:t>C</w:t>
      </w:r>
      <w:r>
        <w:t xml:space="preserve">ommissione europea </w:t>
      </w:r>
      <w:r w:rsidR="0053581A">
        <w:t xml:space="preserve">ha confermato che il contributo del FSE+ nel prossimo peridio sarà rilevante, per ora intorno ai 15 Mld, una dotazione elevata rispetto ad altri SM, per permettere il conseguimento di risultati a lungo termine. Ha ricordato che il Fondo dovrà convergere sul Pilastro sociale e sulle priorità definite nell’Annex D, con una particolare attenzione a temi chiave quali il basso tasso di occupazione specie di giovani, donne e migranti; il rafforzamento dei SPI, il sostegno alla strategia di supporto ai disoccupati di lunga durata, all’integrazione fra politiche sociali e interventi nel mercato del lavoro. Ha richiamato l’importanza di valutare l’efficacia delle sovvenzioni (incentivi) al lavoro per comprendere se essi vadano sostenuti nei Programmi. Ha rimarcato la rilevanza delle politiche per i giovani e di una strategia globale per l’occupazione femminile, sia sul versante dell’accesso al lavoro che da quello conciliativo, senza trascurare il contrasto al lavoro sommerso, il sostegno all’economia sociale. Ha rammentato l’importanza di accrescere le competenze digitali ed il vincolo dell’apprendimento degli adulti, rafforzando l’adattabilità. Ha infine sottolineato la </w:t>
      </w:r>
      <w:r w:rsidR="00A971AA">
        <w:t>necessità</w:t>
      </w:r>
      <w:r w:rsidR="0053581A">
        <w:t xml:space="preserve"> di coordinare </w:t>
      </w:r>
      <w:r w:rsidR="00A971AA">
        <w:t>bene</w:t>
      </w:r>
      <w:r w:rsidR="0053581A">
        <w:t xml:space="preserve"> i livell</w:t>
      </w:r>
      <w:r w:rsidR="00A971AA">
        <w:t>i</w:t>
      </w:r>
      <w:r w:rsidR="0053581A">
        <w:t xml:space="preserve"> di </w:t>
      </w:r>
      <w:r w:rsidR="00A971AA">
        <w:t>governance</w:t>
      </w:r>
      <w:r w:rsidR="0053581A">
        <w:t xml:space="preserve"> e il rispetto del valore addizionale degli interventi FSE+. </w:t>
      </w:r>
    </w:p>
    <w:p w:rsidR="00A971AA" w:rsidRDefault="00A971AA" w:rsidP="004B3932">
      <w:pPr>
        <w:jc w:val="both"/>
      </w:pPr>
      <w:r>
        <w:t>ANPAL, al coordinamento del Tavolo ha velocemente riepilogato la performance nazionale e su scala regionale rispetto ai per</w:t>
      </w:r>
      <w:r w:rsidR="004B3932">
        <w:t>tinenti indicatori del social s</w:t>
      </w:r>
      <w:r>
        <w:t xml:space="preserve">coreboard, ha </w:t>
      </w:r>
      <w:r w:rsidR="004B3932">
        <w:t>ricordato</w:t>
      </w:r>
      <w:r>
        <w:t xml:space="preserve"> il Piano di rafforzamento dei CPI e delle politiche attive e l’investimento </w:t>
      </w:r>
      <w:r w:rsidR="004B3932">
        <w:t>nazionale</w:t>
      </w:r>
      <w:r>
        <w:t xml:space="preserve"> sul tema. </w:t>
      </w:r>
    </w:p>
    <w:p w:rsidR="004B3932" w:rsidRDefault="00A971AA" w:rsidP="004B3932">
      <w:pPr>
        <w:jc w:val="both"/>
      </w:pPr>
      <w:r>
        <w:t>Si sono poi succedute due presentazioni da parte di ANPAL sul Bonus Occupazione e sull’att</w:t>
      </w:r>
      <w:r w:rsidR="004B3932">
        <w:t xml:space="preserve">uazione della Garanzia Giovani, volte a dare dei primi dati sugli effetti medi delle politiche considerate, in particolare mantenimento dell’occupazione incentivata, occupazione dei giovani a 18 mesi dalla presa in carico, efficacia relativa dei tirocini. Le presentazioni hanno stimolato un breve dibattito che ha visto fra l’altro il richiamo della CE all’aspetto delle competenze dei tirocinanti, all’importanza della valutazione in itinere. </w:t>
      </w:r>
    </w:p>
    <w:p w:rsidR="004B3932" w:rsidRDefault="004B3932" w:rsidP="00764632">
      <w:pPr>
        <w:jc w:val="both"/>
      </w:pPr>
      <w:r>
        <w:t xml:space="preserve">Gli interventi delle regioni Puglia e Liguria nella prima parte della mattinata hanno dato evidenza e rilievo alla connessione degli interventi formativi e integrati con i fabbisogni territoriali, alla centralità del confronto partenariale per una efficace programmazione attuativa degli interventi, alla integrazione effettiva fra gli interventi del FSE con quelli di incentivazione alle imprese sostenuti dal FESR. </w:t>
      </w:r>
    </w:p>
    <w:p w:rsidR="00A971AA" w:rsidRDefault="004B3932" w:rsidP="00764632">
      <w:pPr>
        <w:jc w:val="both"/>
      </w:pPr>
      <w:r>
        <w:lastRenderedPageBreak/>
        <w:t xml:space="preserve">Venendo alla tematica delle competenze il Ministero del lavoro ha fatto il punto </w:t>
      </w:r>
      <w:r w:rsidR="0037786E">
        <w:t>sul lavoro in co</w:t>
      </w:r>
      <w:r w:rsidR="00916A0B">
        <w:t>r</w:t>
      </w:r>
      <w:r w:rsidR="0037786E">
        <w:t xml:space="preserve">so sulle competenze degli adulti, ricordando l’istituzione di un tavolo per la governance multilivello e la data del 15 ottobre prossimo per la presentazione del piano di Garanzia competenze degli adulti. </w:t>
      </w:r>
    </w:p>
    <w:p w:rsidR="00764632" w:rsidRDefault="0037786E" w:rsidP="00764632">
      <w:pPr>
        <w:jc w:val="both"/>
      </w:pPr>
      <w:r>
        <w:t>La Regione Emilia-Romagna ha presentato la propria esperienza di</w:t>
      </w:r>
      <w:r w:rsidR="00764632">
        <w:t xml:space="preserve"> strutturazione</w:t>
      </w:r>
      <w:r>
        <w:t xml:space="preserve"> </w:t>
      </w:r>
      <w:r w:rsidR="00916A0B">
        <w:t xml:space="preserve">di </w:t>
      </w:r>
      <w:r w:rsidR="00764632">
        <w:t>filiere di competenza coerenti con la S3 e Industria 4.0, nel contesto del Patto per il lavoro (sottoscritto da ampio partenariato locale)</w:t>
      </w:r>
      <w:r w:rsidR="00916A0B">
        <w:t>, d</w:t>
      </w:r>
      <w:r w:rsidR="00764632">
        <w:t>a un lato competenze digitali per tutti, dall’altro figure specialistiche per l’accompa</w:t>
      </w:r>
      <w:r w:rsidR="00916A0B">
        <w:t>gnamento dei sistemi produttivi</w:t>
      </w:r>
      <w:r w:rsidR="00764632">
        <w:t xml:space="preserve">. E’ stato evidenziato che i territori vanno visti nella loro dimensione complessiva, per valorizzarne aspetti specifici, </w:t>
      </w:r>
      <w:r w:rsidR="00916A0B">
        <w:t>appare quindi importante an</w:t>
      </w:r>
      <w:r w:rsidR="00764632">
        <w:t>che coniugare innovazione e inclusione.</w:t>
      </w:r>
    </w:p>
    <w:p w:rsidR="00764632" w:rsidRDefault="00C15901" w:rsidP="00764632">
      <w:pPr>
        <w:jc w:val="both"/>
      </w:pPr>
      <w:r>
        <w:t xml:space="preserve">ANPAL </w:t>
      </w:r>
      <w:r w:rsidR="00764632">
        <w:t>ha presentato</w:t>
      </w:r>
      <w:r>
        <w:t xml:space="preserve"> i risultati del primo ciclo dell’Indagine PIAAC sulle competenze digitali e l’avvio del secondo ciclo, dando avvio ad un breve dibattito sia sulle differenze regionali, sia sulle competenze digitali necessarie per </w:t>
      </w:r>
      <w:r w:rsidR="00040F5D">
        <w:t>fronteggiare</w:t>
      </w:r>
      <w:r>
        <w:t xml:space="preserve"> l’</w:t>
      </w:r>
      <w:r w:rsidR="00040F5D">
        <w:t>ulteriore</w:t>
      </w:r>
      <w:r>
        <w:t xml:space="preserve"> automazione dei processi e del lavoro. </w:t>
      </w:r>
    </w:p>
    <w:p w:rsidR="00040F5D" w:rsidRDefault="00916A0B" w:rsidP="00764632">
      <w:pPr>
        <w:jc w:val="both"/>
      </w:pPr>
      <w:r>
        <w:t xml:space="preserve">La </w:t>
      </w:r>
      <w:r w:rsidR="00040F5D">
        <w:t xml:space="preserve">Regione Piemonte ha presentato la propria esperienza </w:t>
      </w:r>
      <w:r>
        <w:t xml:space="preserve">e il proprio sistema </w:t>
      </w:r>
      <w:r w:rsidR="00040F5D">
        <w:t>di certificazione delle competenze, attraverso un process</w:t>
      </w:r>
      <w:r>
        <w:t xml:space="preserve">o strutturato di individuazione, </w:t>
      </w:r>
      <w:r w:rsidR="00040F5D">
        <w:t>valutazione</w:t>
      </w:r>
      <w:r>
        <w:t xml:space="preserve"> e certificazione anche delle competenze informali e non formali</w:t>
      </w:r>
      <w:r w:rsidR="00040F5D">
        <w:t>, peraltro premiat</w:t>
      </w:r>
      <w:r>
        <w:t>o</w:t>
      </w:r>
      <w:r w:rsidR="00040F5D">
        <w:t xml:space="preserve"> in ambito internazionale.   </w:t>
      </w:r>
    </w:p>
    <w:p w:rsidR="00040F5D" w:rsidRDefault="00916A0B" w:rsidP="00764632">
      <w:pPr>
        <w:jc w:val="both"/>
      </w:pPr>
      <w:r>
        <w:t xml:space="preserve">La </w:t>
      </w:r>
      <w:r w:rsidR="00040F5D">
        <w:t xml:space="preserve">Regione Veneto ha </w:t>
      </w:r>
      <w:r w:rsidR="00F069E5">
        <w:t xml:space="preserve">fornito un quadro degli interventi </w:t>
      </w:r>
      <w:r>
        <w:t>di</w:t>
      </w:r>
      <w:r w:rsidR="00F069E5">
        <w:t xml:space="preserve"> formazione continua che la Regione programma con FSE in chiave di innovazione, sia ampliando la platea dei beneficiari (es. anche liberi professionisti), sia cercando di semplificare e rendere ampio lo spettro delle azioni ammissibili, sia definendo modalità organizzative flessibili e adatte a contesti e realtà </w:t>
      </w:r>
      <w:r>
        <w:t xml:space="preserve">aziendali </w:t>
      </w:r>
      <w:r w:rsidR="00F069E5">
        <w:t>con esigenze peculiari. Fra gli spunti, la conferma della difficoltà di raccordare la programmazione FSE con i Fondi interprofessionali e l’esigenza di ulteriore semplificazione</w:t>
      </w:r>
      <w:r w:rsidR="009D1A7A">
        <w:t>;</w:t>
      </w:r>
      <w:r w:rsidR="009D1A7A">
        <w:t xml:space="preserve"> la</w:t>
      </w:r>
      <w:r w:rsidR="009D1A7A">
        <w:t xml:space="preserve"> perplessità sull’utilizzo di incentivi per ottenere risultati stabili in termini occupazionali</w:t>
      </w:r>
      <w:r w:rsidR="00F069E5">
        <w:t xml:space="preserve"> </w:t>
      </w:r>
      <w:r w:rsidR="009D1A7A">
        <w:t xml:space="preserve">e </w:t>
      </w:r>
      <w:r w:rsidR="00F069E5">
        <w:t>il richiamo alla territorialità della programmazione, per una maggiore incisività degli interventi.</w:t>
      </w:r>
    </w:p>
    <w:p w:rsidR="00D519D0" w:rsidRDefault="00D519D0" w:rsidP="00764632">
      <w:pPr>
        <w:jc w:val="both"/>
      </w:pPr>
      <w:r>
        <w:t>ANPAL ha presentato due ulteriori analisi, da un lato la formazione continua e dall’altro un quadro dello skills mismatch come affrontato, con risultati posit</w:t>
      </w:r>
      <w:r w:rsidR="009D1A7A">
        <w:t>ivi da parte dei sistemi di IeFP</w:t>
      </w:r>
      <w:r>
        <w:t xml:space="preserve"> e ITS.</w:t>
      </w:r>
    </w:p>
    <w:p w:rsidR="00F069E5" w:rsidRDefault="009D1A7A" w:rsidP="00621FA7">
      <w:pPr>
        <w:jc w:val="both"/>
      </w:pPr>
      <w:r>
        <w:t xml:space="preserve">La </w:t>
      </w:r>
      <w:bookmarkStart w:id="0" w:name="_GoBack"/>
      <w:bookmarkEnd w:id="0"/>
      <w:r w:rsidR="00D519D0">
        <w:t xml:space="preserve">Regione Lazio ha presentato la propri esperienza sperimentale del Progetto Formazione Valore apprendimento – inserito nel contesto delle azioni integrate per il riconoscimento e le certificazioni delle competenze </w:t>
      </w:r>
      <w:r w:rsidR="00621FA7">
        <w:t>che ha consentito di intervenire su un nucleo di operatori degli enti formativi e successivamente di mettere a regime un dispositivo integrato di crediti e certificazione.</w:t>
      </w:r>
    </w:p>
    <w:p w:rsidR="00C15901" w:rsidRDefault="00621FA7" w:rsidP="00764632">
      <w:pPr>
        <w:jc w:val="both"/>
      </w:pPr>
      <w:r>
        <w:t>Nel dibattito</w:t>
      </w:r>
      <w:r w:rsidR="00C15901">
        <w:t xml:space="preserve"> sono venuti stimoli sul tema della </w:t>
      </w:r>
      <w:r w:rsidR="00040F5D">
        <w:t>conciliazione</w:t>
      </w:r>
      <w:r w:rsidR="00C15901">
        <w:t xml:space="preserve">, </w:t>
      </w:r>
      <w:r w:rsidR="00040F5D">
        <w:t>attraverso</w:t>
      </w:r>
      <w:r w:rsidR="00C15901">
        <w:t xml:space="preserve"> forme innovativ</w:t>
      </w:r>
      <w:r w:rsidR="00F069E5">
        <w:t>e di organizzazione del lavoro, qual</w:t>
      </w:r>
      <w:r w:rsidR="00D519D0">
        <w:t xml:space="preserve">ità e articolazione dei servizi; sulla certificazione delle competenze, sulla dorsale informativa del lavoro, </w:t>
      </w:r>
      <w:r>
        <w:t xml:space="preserve">nonché sul ruolo </w:t>
      </w:r>
      <w:r w:rsidR="00D519D0">
        <w:t xml:space="preserve">del partenariato sul </w:t>
      </w:r>
      <w:r>
        <w:t>sistema</w:t>
      </w:r>
      <w:r w:rsidR="00D519D0">
        <w:t xml:space="preserve"> di formazione continua. </w:t>
      </w:r>
    </w:p>
    <w:p w:rsidR="004B1939" w:rsidRDefault="00D519D0" w:rsidP="00764632">
      <w:pPr>
        <w:jc w:val="both"/>
      </w:pPr>
      <w:r>
        <w:t xml:space="preserve">Le presentazioni della giornata sono sacaricabili al link </w:t>
      </w:r>
      <w:hyperlink r:id="rId8" w:history="1">
        <w:r w:rsidRPr="00AF3671">
          <w:rPr>
            <w:rStyle w:val="Collegamentoipertestuale"/>
          </w:rPr>
          <w:t>https://www.dropbox.com/sh/xoie7cq4dk77qht/AAAEuNZIehQwnxi4IAntZ-_ga/TAVOLO_4/RIUNIONI/4_RIUNIONE_19_09_2019_OP4?dl=0&amp;subfolder_nav_tracking=1</w:t>
        </w:r>
      </w:hyperlink>
      <w:r>
        <w:t xml:space="preserve"> </w:t>
      </w:r>
    </w:p>
    <w:p w:rsidR="009C35B2" w:rsidRDefault="00621FA7" w:rsidP="00621FA7">
      <w:pPr>
        <w:jc w:val="both"/>
      </w:pPr>
      <w:r>
        <w:t xml:space="preserve">Il prossimo incontro, di restituzione degli esiti è fissato per l’ 8 ottobre. </w:t>
      </w:r>
      <w:r w:rsidR="00247CFD">
        <w:t xml:space="preserve"> </w:t>
      </w:r>
    </w:p>
    <w:sectPr w:rsidR="009C35B2">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126" w:rsidRDefault="005B1126" w:rsidP="00621FA7">
      <w:pPr>
        <w:spacing w:after="0" w:line="240" w:lineRule="auto"/>
      </w:pPr>
      <w:r>
        <w:separator/>
      </w:r>
    </w:p>
  </w:endnote>
  <w:endnote w:type="continuationSeparator" w:id="0">
    <w:p w:rsidR="005B1126" w:rsidRDefault="005B1126" w:rsidP="00621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6480940"/>
      <w:docPartObj>
        <w:docPartGallery w:val="Page Numbers (Bottom of Page)"/>
        <w:docPartUnique/>
      </w:docPartObj>
    </w:sdtPr>
    <w:sdtEndPr/>
    <w:sdtContent>
      <w:p w:rsidR="00621FA7" w:rsidRDefault="00621FA7">
        <w:pPr>
          <w:pStyle w:val="Pidipagina"/>
          <w:jc w:val="right"/>
        </w:pPr>
        <w:r>
          <w:fldChar w:fldCharType="begin"/>
        </w:r>
        <w:r>
          <w:instrText>PAGE   \* MERGEFORMAT</w:instrText>
        </w:r>
        <w:r>
          <w:fldChar w:fldCharType="separate"/>
        </w:r>
        <w:r w:rsidR="009D1A7A">
          <w:rPr>
            <w:noProof/>
          </w:rPr>
          <w:t>2</w:t>
        </w:r>
        <w:r>
          <w:fldChar w:fldCharType="end"/>
        </w:r>
      </w:p>
    </w:sdtContent>
  </w:sdt>
  <w:p w:rsidR="00621FA7" w:rsidRDefault="00621FA7">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126" w:rsidRDefault="005B1126" w:rsidP="00621FA7">
      <w:pPr>
        <w:spacing w:after="0" w:line="240" w:lineRule="auto"/>
      </w:pPr>
      <w:r>
        <w:separator/>
      </w:r>
    </w:p>
  </w:footnote>
  <w:footnote w:type="continuationSeparator" w:id="0">
    <w:p w:rsidR="005B1126" w:rsidRDefault="005B1126" w:rsidP="00621F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CFD"/>
    <w:rsid w:val="00040F5D"/>
    <w:rsid w:val="00084F72"/>
    <w:rsid w:val="000877A4"/>
    <w:rsid w:val="00247CFD"/>
    <w:rsid w:val="0037786E"/>
    <w:rsid w:val="004B1939"/>
    <w:rsid w:val="004B3932"/>
    <w:rsid w:val="0053581A"/>
    <w:rsid w:val="00571004"/>
    <w:rsid w:val="005B1126"/>
    <w:rsid w:val="00621FA7"/>
    <w:rsid w:val="00764632"/>
    <w:rsid w:val="00790DEE"/>
    <w:rsid w:val="008E076E"/>
    <w:rsid w:val="0090040A"/>
    <w:rsid w:val="00916A0B"/>
    <w:rsid w:val="009C35B2"/>
    <w:rsid w:val="009D1A7A"/>
    <w:rsid w:val="00A971AA"/>
    <w:rsid w:val="00C15901"/>
    <w:rsid w:val="00D519D0"/>
    <w:rsid w:val="00E86C17"/>
    <w:rsid w:val="00F069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644E9B-4D0C-4CDE-AE00-7E2D967D5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084F72"/>
    <w:rPr>
      <w:color w:val="0000FF"/>
      <w:u w:val="single"/>
    </w:rPr>
  </w:style>
  <w:style w:type="paragraph" w:styleId="Intestazione">
    <w:name w:val="header"/>
    <w:basedOn w:val="Normale"/>
    <w:link w:val="IntestazioneCarattere"/>
    <w:uiPriority w:val="99"/>
    <w:unhideWhenUsed/>
    <w:rsid w:val="00621FA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21FA7"/>
  </w:style>
  <w:style w:type="paragraph" w:styleId="Pidipagina">
    <w:name w:val="footer"/>
    <w:basedOn w:val="Normale"/>
    <w:link w:val="PidipaginaCarattere"/>
    <w:uiPriority w:val="99"/>
    <w:unhideWhenUsed/>
    <w:rsid w:val="00621FA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21F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ropbox.com/sh/xoie7cq4dk77qht/AAAEuNZIehQwnxi4IAntZ-_ga/TAVOLO_4/RIUNIONI/4_RIUNIONE_19_09_2019_OP4?dl=0&amp;subfolder_nav_tracking=1" TargetMode="External"/><Relationship Id="rId3" Type="http://schemas.openxmlformats.org/officeDocument/2006/relationships/settings" Target="settings.xml"/><Relationship Id="rId7" Type="http://schemas.openxmlformats.org/officeDocument/2006/relationships/hyperlink" Target="https://www.youtube.com/watch?v=mk7kZwGo4w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FC383-0626-401E-9685-60BC3AA20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1167</Words>
  <Characters>6656</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Casillo</dc:creator>
  <cp:keywords/>
  <dc:description/>
  <cp:lastModifiedBy>Anna Chiara Serena</cp:lastModifiedBy>
  <cp:revision>2</cp:revision>
  <dcterms:created xsi:type="dcterms:W3CDTF">2019-10-03T15:14:00Z</dcterms:created>
  <dcterms:modified xsi:type="dcterms:W3CDTF">2019-10-03T15:14:00Z</dcterms:modified>
</cp:coreProperties>
</file>